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6A657B"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96354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23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84D3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</w:t>
      </w:r>
      <w:proofErr w:type="spellStart"/>
      <w:r w:rsidR="00084D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084D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</w:t>
      </w:r>
      <w:proofErr w:type="spellStart"/>
      <w:r w:rsidR="00084D30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084D3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6B41A9" w:rsidRPr="006B41A9" w:rsidRDefault="00717F8E" w:rsidP="006B41A9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084D30" w:rsidRDefault="00250464" w:rsidP="00084D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7F0745" w:rsidRPr="0008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реда за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преминаване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хартиени бюлетини при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непреодолими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външни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чл.269 ИК, т.8.3. от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Раздел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III на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Методическите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gram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ЦИК 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</w:t>
      </w:r>
      <w:proofErr w:type="spellEnd"/>
      <w:proofErr w:type="gram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машинното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гласуване,  и за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реда за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СИК на ОИК на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попълването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получаване на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="00084D30" w:rsidRPr="00084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произвеждане на изборите за общински съветници и за кметове на 29 октомври 2023г.</w:t>
      </w:r>
    </w:p>
    <w:p w:rsidR="00250464" w:rsidRDefault="007F0745" w:rsidP="000B5C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F074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Младенка Николова</w:t>
      </w:r>
    </w:p>
    <w:p w:rsidR="000B5C53" w:rsidRPr="000B5C53" w:rsidRDefault="000B5C53" w:rsidP="000B5C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0464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B1578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</w:t>
      </w:r>
      <w:r w:rsidR="007F0745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</w:t>
      </w:r>
      <w:r w:rsidR="006B41A9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F074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</w:t>
      </w:r>
      <w:r w:rsidR="000B5C53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B5C53">
        <w:rPr>
          <w:rFonts w:ascii="Times New Roman" w:hAnsi="Times New Roman" w:cs="Times New Roman"/>
          <w:bCs/>
          <w:sz w:val="24"/>
          <w:szCs w:val="24"/>
          <w:lang w:val="bg-BG"/>
        </w:rPr>
        <w:t>3.45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B5C53">
        <w:rPr>
          <w:rFonts w:ascii="Times New Roman" w:hAnsi="Times New Roman" w:cs="Times New Roman"/>
          <w:bCs/>
          <w:sz w:val="24"/>
          <w:szCs w:val="24"/>
          <w:lang w:val="bg-BG"/>
        </w:rPr>
        <w:t>Гергана Кавалджиева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1FF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CA11FF">
        <w:rPr>
          <w:rStyle w:val="a3"/>
          <w:rFonts w:ascii="Times New Roman" w:hAnsi="Times New Roman" w:cs="Times New Roman"/>
          <w:sz w:val="24"/>
          <w:szCs w:val="24"/>
          <w:lang w:val="bg-BG"/>
        </w:rPr>
        <w:t>6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0B5C53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BA19F4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0B5C5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</w:t>
      </w:r>
      <w:proofErr w:type="spellStart"/>
      <w:r w:rsidR="000B5C5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0B5C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</w:t>
      </w:r>
      <w:proofErr w:type="spellStart"/>
      <w:r w:rsidR="000B5C5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0B5C53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F902E7" w:rsidRDefault="00F902E7" w:rsidP="007E08D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на решение:</w:t>
      </w:r>
    </w:p>
    <w:p w:rsidR="000B5C53" w:rsidRDefault="000B5C53" w:rsidP="000B5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0B5C53" w:rsidRPr="006F42CA" w:rsidRDefault="000B5C53" w:rsidP="000B5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„БСП за </w:t>
      </w:r>
      <w:proofErr w:type="spellStart"/>
      <w:proofErr w:type="gramStart"/>
      <w:r w:rsidRPr="00E854B2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E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E854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76 от 23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във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ОИК, с което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5C53" w:rsidRPr="006F42CA" w:rsidRDefault="000B5C53" w:rsidP="000B5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т.5 и т.6 от ИК и след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Ямбол,</w:t>
      </w:r>
    </w:p>
    <w:p w:rsidR="000B5C53" w:rsidRPr="006F42CA" w:rsidRDefault="000B5C53" w:rsidP="000B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B5C53" w:rsidRPr="006F42CA" w:rsidRDefault="000B5C53" w:rsidP="000B5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B5C53" w:rsidRDefault="000B5C53" w:rsidP="000B5C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0B5C53" w:rsidTr="00403E5E">
        <w:tc>
          <w:tcPr>
            <w:tcW w:w="2248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0B5C53" w:rsidTr="00403E5E">
        <w:tc>
          <w:tcPr>
            <w:tcW w:w="2248" w:type="dxa"/>
          </w:tcPr>
          <w:p w:rsidR="000B5C53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0B5C53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</w:tcPr>
          <w:p w:rsidR="000B5C53" w:rsidRPr="00BD030B" w:rsidRDefault="00BD030B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0B5C53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282200008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Колева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8C32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282200024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8C32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282200026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Минева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8C32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282200028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Стойков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8C32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p w:rsidR="000B5C53" w:rsidRDefault="000B5C53" w:rsidP="000B5C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5C53" w:rsidRPr="006F42CA" w:rsidRDefault="000B5C53" w:rsidP="000B5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5C53" w:rsidRPr="00B10EED" w:rsidRDefault="000B5C53" w:rsidP="000B5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0B5C53" w:rsidTr="00403E5E">
        <w:tc>
          <w:tcPr>
            <w:tcW w:w="2248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СИК №…..</w:t>
            </w:r>
          </w:p>
        </w:tc>
        <w:tc>
          <w:tcPr>
            <w:tcW w:w="3701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0B5C53" w:rsidRPr="006F42CA" w:rsidRDefault="000B5C53" w:rsidP="0040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610B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 w:rsidRPr="001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282200008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610B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282200024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Дойчев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610B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282200026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Янев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610B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 w:rsidRPr="001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BD030B" w:rsidTr="00403E5E">
        <w:tc>
          <w:tcPr>
            <w:tcW w:w="2248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282200028</w:t>
            </w:r>
          </w:p>
        </w:tc>
        <w:tc>
          <w:tcPr>
            <w:tcW w:w="3701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Мозакова</w:t>
            </w:r>
            <w:proofErr w:type="spellEnd"/>
          </w:p>
        </w:tc>
        <w:tc>
          <w:tcPr>
            <w:tcW w:w="1417" w:type="dxa"/>
          </w:tcPr>
          <w:p w:rsidR="00BD030B" w:rsidRDefault="00BD030B" w:rsidP="00BD030B">
            <w:pPr>
              <w:spacing w:after="0"/>
            </w:pPr>
            <w:r w:rsidRPr="00610B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D030B" w:rsidRDefault="00BD030B" w:rsidP="00BD030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301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bookmarkEnd w:id="0"/>
    <w:p w:rsidR="000B5C53" w:rsidRPr="006F42CA" w:rsidRDefault="000B5C53" w:rsidP="000B5C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т.3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5C53" w:rsidRDefault="000B5C53" w:rsidP="000B5C5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чл.88 от Изборния кодекс,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CA11FF" w:rsidRDefault="00CA11FF" w:rsidP="00CA11F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6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0B5C53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0B5C53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54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0B5C53">
        <w:rPr>
          <w:rFonts w:ascii="Times New Roman" w:hAnsi="Times New Roman" w:cs="Times New Roman"/>
          <w:b/>
          <w:bCs/>
          <w:sz w:val="24"/>
          <w:szCs w:val="24"/>
          <w:lang w:val="bg-BG"/>
        </w:rPr>
        <w:t>23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CA11FF" w:rsidRDefault="00CA11FF" w:rsidP="005D23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реда за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преминаване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хартиени бюлетини при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непреодолими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външни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чл.269 ИК, т.8.3. от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Методическите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B5C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 w:rsidR="000B5C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машинното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гласуване, както и за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реда за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СИК на ОИК на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попълването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получаване на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="000B5C53" w:rsidRPr="00205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произвеждане на изборите за общински съветници и за кметове на 29 октомври 2023г.</w:t>
      </w:r>
    </w:p>
    <w:p w:rsidR="00CA11FF" w:rsidRDefault="00CA11FF" w:rsidP="005D236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Колеги предлагам следният проект на решение: 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реда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хартиени бюлетини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непреодолими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външни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чл.269 ИК, т.8.3.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Раздел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III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Методическите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gram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ЦИК 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</w:t>
      </w:r>
      <w:proofErr w:type="spellEnd"/>
      <w:proofErr w:type="gram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машинното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гласуване,  и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реда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СИК на ОИК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получаване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произвеждане на изборите за общински съветници и за кметове на 29 октомври 2023г.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1 и т.34 от Изборния кодекс, и </w:t>
      </w:r>
      <w:proofErr w:type="spellStart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Методическите</w:t>
      </w:r>
      <w:proofErr w:type="spellEnd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указания</w:t>
      </w:r>
      <w:proofErr w:type="spellEnd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gramStart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ЦИК  по</w:t>
      </w:r>
      <w:proofErr w:type="gramEnd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прилагане</w:t>
      </w:r>
      <w:proofErr w:type="spellEnd"/>
      <w:r w:rsidRPr="0039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ИК от СИК в изборите за общински съветници и за кметове на 29 октомври 2023г.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приети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Решение № 2655-МИ от 12 октомври 2023г. на ЦИК и Решение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№2695-МИ от 17 октомври 2023г. на ЦИК, Общинска избирателна комисия Стралджа, област Ямбол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хартиени </w:t>
      </w:r>
      <w:proofErr w:type="gram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  при</w:t>
      </w:r>
      <w:proofErr w:type="gram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непреодолими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външни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машинното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т.8.3.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Раздел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III </w:t>
      </w:r>
      <w:proofErr w:type="gram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Методическите</w:t>
      </w:r>
      <w:proofErr w:type="spellEnd"/>
      <w:proofErr w:type="gram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хартиени бюлетини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единствено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непреодолими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външни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269 ИК. 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наличие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предпоставки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преустановяване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машинното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269 ИК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наличие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попълнен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наличие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предпоставки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269 ИК (Приложение 5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методическите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от СИК, </w:t>
      </w:r>
      <w:r w:rsidRPr="00393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 избирателна комисия Стралджа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Ямбол: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А)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уведомява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фактическата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обстановка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Б) след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съгласуване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ЦИК,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гласуване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хартиени бюлетини, 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В) след което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изпраща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 на Централната избирателна комисия.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СИК/ПСИК на Общинска избирателна комисия Стралджа, област Ямбол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получаване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преброяване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бюлетините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СИК/ПСИК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задължително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преброяванет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А)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черновата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удовлетворяване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контролите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Формулярът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100-МИ-х, № 101-МИ-хм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№ 102-МИ-х и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№ 103-МИ-хм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393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само</w:t>
      </w:r>
      <w:proofErr w:type="spellEnd"/>
      <w:r w:rsidRPr="00393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един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изважда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плика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вписаните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черновата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удовлетворяване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контролите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Б)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черновата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СИК/ПСИК - Приложение № 100-МИ-х, № 101-МИ-хм, № 102-МИ-х и № 103-МИ-хм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внимава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не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грешки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2.2. </w:t>
      </w:r>
      <w:proofErr w:type="spellStart"/>
      <w:r w:rsidRPr="00393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Сгрешен</w:t>
      </w:r>
      <w:proofErr w:type="spellEnd"/>
      <w:r w:rsidRPr="00393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този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който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допуснатите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грешки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такова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естество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че не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позволяват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реално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бъдат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установени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този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случай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върху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надпис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proofErr w:type="gram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подписват всички членове на СИК/ПСИК.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обстановката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при която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произведени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изборите,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ІІ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100-МИ-х, № 101-МИ-хм, № 102-МИ-х и № 103-МИ-хм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2.3. Всички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останали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случаи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грешките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сгрешеното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задрасква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хоризонтална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така че да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него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записват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действителните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Възможно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най-близо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отстрани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пише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и</w:t>
      </w:r>
      <w:proofErr w:type="gram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подписват всички членове на СИК/ПСИК. 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2.4.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Очевидни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фактически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грешки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могат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след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съответна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СИК/ПСИК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уведомява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избирателна комисия Стралджа, област Ямбол.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СИК/ПСИК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връща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определения с решение на ОИК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неин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фабричният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сверява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вписан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215,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 ИК. (Приложение № 85-МИ или Приложение № 86-МИ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).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несъответствие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отразява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88-МИ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). След получаване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определеният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решение на ОИК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неин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СИК/ПСИК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формуляр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получаване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формуляр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членове на СИК/ПСИК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решение на ОИК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неин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подписват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Приложение № 88-МИ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който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фабричните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формуляр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 което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всички членове на СИК/ПСИК и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решение на ОИК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неин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СИК/ПСИК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формуляр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допусната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грешка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гореописания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той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всички членове на СИК/ПСИК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СИК/ПСИК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могат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всички членове на комисията, като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отстрани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пише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proofErr w:type="gram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Очевидни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фактически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грешки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могат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поправят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след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описват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опис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който се съхранява в ОИК Стралджа, област Ямбол.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2.7. ОИК </w:t>
      </w: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Стралджа, област Ямбол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изпраща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сканирани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и от описа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анализ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поща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адрес на ЦИК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предаването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администрация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т. 10 от Решение №2695-МИ/17.10.2023г.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(Приложение № 88-МИ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за ОИК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оригиналите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ОИК Стралджа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администрация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7-дневен срок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изборите по реда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33 ИК, едновременно с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457,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 ИК.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оригиналите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протоколи, както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457,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 ИК,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съхраняват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помещенията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общината по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445,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8 ИК.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прилага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СИК/ПСИК и при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евентуален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изборите в община Стралджа, област Ямбол.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настоящото решение да се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изпрати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Общинска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администрация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Стралджа, област Ямбол за </w:t>
      </w:r>
      <w:proofErr w:type="spellStart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сведение</w:t>
      </w:r>
      <w:proofErr w:type="spellEnd"/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4D30" w:rsidRPr="003934F0" w:rsidRDefault="00084D30" w:rsidP="00084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пред ЦИК, чрез ОИК, в тридневен срок от обявяването му по реда на чл.88 от Изборния кодекс.</w:t>
      </w:r>
    </w:p>
    <w:p w:rsidR="00E55526" w:rsidRPr="00666E75" w:rsidRDefault="00E55526" w:rsidP="00E555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11FF" w:rsidRPr="00EE2AE6" w:rsidRDefault="00CA11FF" w:rsidP="00CA11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CA11FF" w:rsidRPr="00EE2AE6" w:rsidRDefault="00CA11FF" w:rsidP="00CA11FF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0B5C53" w:rsidRDefault="000B5C53" w:rsidP="000B5C5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6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CA11FF" w:rsidRPr="000D3994" w:rsidRDefault="00CA11FF" w:rsidP="00CA11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CA11FF" w:rsidRPr="00EE2AE6" w:rsidRDefault="00CA11FF" w:rsidP="00CA11F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CA11FF" w:rsidRDefault="00CA11FF" w:rsidP="00CA11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0B5C53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55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0B5C53">
        <w:rPr>
          <w:rFonts w:ascii="Times New Roman" w:hAnsi="Times New Roman" w:cs="Times New Roman"/>
          <w:b/>
          <w:bCs/>
          <w:sz w:val="24"/>
          <w:szCs w:val="24"/>
          <w:lang w:val="bg-BG"/>
        </w:rPr>
        <w:t>23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5833EB" w:rsidRDefault="00057127" w:rsidP="005833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инем към разглеждане на т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рета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Входяща поща. 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 Общината постъпи Заповед относно транспортната схема и графика за предаване на членовете на СИК изборни книжа и материали за произвеждане на избори за общински съветници и за кметове на 29.10.2023г.</w:t>
      </w:r>
      <w:r w:rsidR="0008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По първо направление ще отидат Иванка Георгиева и Младенка Николова, а по второ направление отиват Елена Тодорова и Гергана Кавалджиева.</w:t>
      </w:r>
    </w:p>
    <w:p w:rsidR="00057127" w:rsidRDefault="00057127" w:rsidP="005833E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По точка Разни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5833E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Няма постъпили запитвания.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4D30">
        <w:rPr>
          <w:rFonts w:ascii="Times New Roman" w:hAnsi="Times New Roman" w:cs="Times New Roman"/>
          <w:bCs/>
          <w:sz w:val="24"/>
          <w:szCs w:val="24"/>
          <w:lang w:val="bg-BG"/>
        </w:rPr>
        <w:t>14.10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4180"/>
    <w:multiLevelType w:val="hybridMultilevel"/>
    <w:tmpl w:val="2F0EA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57127"/>
    <w:rsid w:val="00062611"/>
    <w:rsid w:val="00084D30"/>
    <w:rsid w:val="000928E5"/>
    <w:rsid w:val="000A260A"/>
    <w:rsid w:val="000B5C53"/>
    <w:rsid w:val="000C4D93"/>
    <w:rsid w:val="000D3994"/>
    <w:rsid w:val="001412BC"/>
    <w:rsid w:val="00157369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E45EC"/>
    <w:rsid w:val="00717F8E"/>
    <w:rsid w:val="0074480F"/>
    <w:rsid w:val="00760B67"/>
    <w:rsid w:val="007E08D9"/>
    <w:rsid w:val="007E576B"/>
    <w:rsid w:val="007F0745"/>
    <w:rsid w:val="00820BAF"/>
    <w:rsid w:val="0082175B"/>
    <w:rsid w:val="008224F3"/>
    <w:rsid w:val="00856237"/>
    <w:rsid w:val="00891ED5"/>
    <w:rsid w:val="008A4CA9"/>
    <w:rsid w:val="00953F88"/>
    <w:rsid w:val="009554BC"/>
    <w:rsid w:val="009578EB"/>
    <w:rsid w:val="00963547"/>
    <w:rsid w:val="00974BA8"/>
    <w:rsid w:val="00996F66"/>
    <w:rsid w:val="009C0FD7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A19F4"/>
    <w:rsid w:val="00BC214F"/>
    <w:rsid w:val="00BD030B"/>
    <w:rsid w:val="00BD370E"/>
    <w:rsid w:val="00C019C1"/>
    <w:rsid w:val="00C06D40"/>
    <w:rsid w:val="00CA11FF"/>
    <w:rsid w:val="00CB299B"/>
    <w:rsid w:val="00D02802"/>
    <w:rsid w:val="00D043AB"/>
    <w:rsid w:val="00D41694"/>
    <w:rsid w:val="00D82CC4"/>
    <w:rsid w:val="00D95332"/>
    <w:rsid w:val="00DA1CB2"/>
    <w:rsid w:val="00DC0C44"/>
    <w:rsid w:val="00E41970"/>
    <w:rsid w:val="00E5277A"/>
    <w:rsid w:val="00E55526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9675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89</cp:revision>
  <cp:lastPrinted>2023-10-23T13:43:00Z</cp:lastPrinted>
  <dcterms:created xsi:type="dcterms:W3CDTF">2023-09-27T13:37:00Z</dcterms:created>
  <dcterms:modified xsi:type="dcterms:W3CDTF">2023-10-24T13:09:00Z</dcterms:modified>
</cp:coreProperties>
</file>