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D95332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6E45EC">
        <w:rPr>
          <w:rStyle w:val="a3"/>
          <w:rFonts w:ascii="Times New Roman" w:hAnsi="Times New Roman" w:cs="Times New Roman"/>
          <w:sz w:val="24"/>
          <w:szCs w:val="24"/>
          <w:lang w:val="bg-BG"/>
        </w:rPr>
        <w:t>2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01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D02802" w:rsidRPr="00D02802" w:rsidRDefault="00B3371A" w:rsidP="001673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</w:t>
      </w:r>
      <w:r w:rsidR="00D02802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графичен файл с образец на </w:t>
      </w:r>
      <w:r w:rsidR="00D02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бюлетината за всеки вид избор и </w:t>
      </w:r>
      <w:r w:rsidR="00D02802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тиража на бюлетините</w:t>
      </w:r>
      <w:r w:rsidR="00D02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2802" w:rsidRPr="007B7B79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общината</w:t>
      </w:r>
      <w:r w:rsidR="00D02802" w:rsidRPr="007B7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28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гласуване в</w:t>
      </w:r>
      <w:r w:rsidR="00D02802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</w:t>
      </w:r>
      <w:r w:rsidR="00D02802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D02802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</w:t>
      </w:r>
      <w:r w:rsidR="00D02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D02802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29 октомври 2023 г.</w:t>
      </w:r>
    </w:p>
    <w:p w:rsidR="00717F8E" w:rsidRPr="00D02802" w:rsidRDefault="00717F8E" w:rsidP="00D0280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3371A"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377F0E" w:rsidRPr="00377F0E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B3371A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няма</w:t>
      </w:r>
      <w:r w:rsidR="00377F0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>в 1</w:t>
      </w:r>
      <w:r w:rsidR="006E45EC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="00760B6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760B67">
        <w:rPr>
          <w:rFonts w:ascii="Times New Roman" w:hAnsi="Times New Roman" w:cs="Times New Roman"/>
          <w:bCs/>
          <w:sz w:val="24"/>
          <w:szCs w:val="24"/>
        </w:rPr>
        <w:t>0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колеги, откривам заседанието на Общинската избирателна комисия, имаме необходимия кворум. Предлагам за протоколист  на днешното заседание  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Миглена Костадинова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A857F8" w:rsidRPr="00A857F8">
        <w:rPr>
          <w:rFonts w:ascii="Times New Roman" w:hAnsi="Times New Roman" w:cs="Times New Roman"/>
          <w:bCs/>
          <w:sz w:val="24"/>
          <w:szCs w:val="24"/>
          <w:lang w:val="bg-BG"/>
        </w:rPr>
        <w:t>Красимира Колева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0D3994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0254BE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r w:rsidR="000254BE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графичен файл с образец на </w:t>
      </w:r>
      <w:r w:rsidR="00025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бюлетината за всеки вид избор, </w:t>
      </w:r>
      <w:r w:rsidR="000254BE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тиража на бюлетините</w:t>
      </w:r>
      <w:r w:rsidR="00025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254BE" w:rsidRPr="007B7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54BE" w:rsidRPr="007B7B7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образците на протоколи на ОИК и на секционните избирателни комисии (СИК) в общината</w:t>
      </w:r>
      <w:r w:rsidR="000254BE" w:rsidRPr="007B7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54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гласуване в</w:t>
      </w:r>
      <w:r w:rsidR="000254BE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</w:t>
      </w:r>
      <w:r w:rsidR="000254B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0254BE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</w:t>
      </w:r>
      <w:r w:rsidR="00025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0254BE"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29 октомври 2023 г.</w:t>
      </w:r>
      <w:r w:rsidR="000254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Елена Тодорова да ни запознае с проекта на решението.</w:t>
      </w:r>
    </w:p>
    <w:p w:rsidR="0074480F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</w:t>
      </w:r>
      <w:r w:rsidR="00A857F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</w:t>
      </w:r>
      <w:r w:rsidR="008224F3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редлагам следния проект на решение: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Одобряване на графичен файл с образец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бюлетината за всеки вид избор и 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тиража на бюлетините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7B79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общината</w:t>
      </w:r>
      <w:r w:rsidRPr="007B7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гласуване в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29 октомври 2023 г.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1979-МИ от 18.08.2023 г. на ЦИК в т.5 е указано, че незабавно след получаване на графичния файл с предпечат на хартиените бюлетини по видове, и с писмо с изх.№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МИ-15-511/29.09.2023г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входирано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036/29.09.2023г. по описа на ОИК Стралджа, област Ямбол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не по-късно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03.10.2023г.,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 заседание за одобряване на графичния файл с образец на бюлетината за всеки вид избор, като всеки отделен образец се разпечатва и върху него се подписват всички присъстващи членове на ОИК и изписват трите си имена саморъчно. Задължително следва да бъдат отбелязани датата и часът на одобряването на образеца на бюлетината.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т.6 от решение № 1979-МИ от 18.08.2023 г. на ЦИК едновременно с одобряване на предпечатните образци на бюлетините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Стралджа, област Ямбол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одобри и тиража на бюлетините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Стралджа, област Ямбол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така вмененото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съобразно така определения срок, а именно – получен графичен файл с образец на бюлетината за всеки вид избор на 29.09.2023г. и на основание чл.85, ал.4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чл.87, ал.1, т.1 и т.9 от ИК ОИК Стралджа, област Ямбол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</w:t>
      </w:r>
      <w:proofErr w:type="gramEnd"/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Ш  И:</w:t>
      </w:r>
    </w:p>
    <w:p w:rsidR="00D02802" w:rsidRPr="00D21C59" w:rsidRDefault="00D02802" w:rsidP="00D028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ОДОБРЯВА 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графичен файл с образец на бюлетината за всеки вид избор, като всеки отделен образец се разпечатва и върху него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отбелязват датата и часът на одобряването му и се подписват всички присъстващи членове на ОИК Стралджа, област Ямбол посредством саморъчно изписване на трите си имена.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02802" w:rsidRPr="00D21C59" w:rsidRDefault="00D02802" w:rsidP="00D028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тираж на бюлетината при произвеждане на изборите за общински съветници и кметове на 29 октомври 2023 г., по вид избори и брой бюлетини, както следва: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За избори за </w:t>
      </w:r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6C2F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C2F98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10200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хиляди и двеста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2.2. За избори за </w:t>
      </w:r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10200</w:t>
      </w:r>
      <w:r w:rsidRPr="006C2F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 хиляди и двеста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02802" w:rsidRPr="00D21C59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2.3. За избори за </w:t>
      </w:r>
      <w:r w:rsidRPr="00D21C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кметство: </w:t>
      </w: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tbl>
      <w:tblPr>
        <w:tblW w:w="6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3991"/>
      </w:tblGrid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Александрово 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 (сто)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Воденичане  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 (триста)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 (хиляда и триста)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Иречеково       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 (триста)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 (триста)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 (четиристотин)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Люлин      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  <w:tr w:rsidR="00D02802" w:rsidRPr="00D21C59" w:rsidTr="008D31FE">
        <w:trPr>
          <w:tblCellSpacing w:w="15" w:type="dxa"/>
        </w:trPr>
        <w:tc>
          <w:tcPr>
            <w:tcW w:w="2804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3946" w:type="dxa"/>
            <w:vAlign w:val="center"/>
            <w:hideMark/>
          </w:tcPr>
          <w:p w:rsidR="00D02802" w:rsidRPr="00D21C59" w:rsidRDefault="00D02802" w:rsidP="008D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1C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(двеста)</w:t>
            </w:r>
          </w:p>
        </w:tc>
      </w:tr>
    </w:tbl>
    <w:p w:rsidR="00D02802" w:rsidRDefault="00D02802" w:rsidP="00D02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802" w:rsidRPr="00D21C59" w:rsidRDefault="00D02802" w:rsidP="00D02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2802" w:rsidRPr="00D21C59" w:rsidRDefault="00D02802" w:rsidP="00D02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Одобреният образец на бюлетината се съхранява в ОИК и се публикува след разрешение от ЦИК.</w:t>
      </w:r>
    </w:p>
    <w:p w:rsidR="00D02802" w:rsidRDefault="00D02802" w:rsidP="00D0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</w:t>
      </w:r>
      <w:proofErr w:type="gramStart"/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ЦИК,  в</w:t>
      </w:r>
      <w:proofErr w:type="gramEnd"/>
      <w:r w:rsidRPr="00D21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тридневен срок, по реда на чл.88 от Изборния кодекс,  чрез ОИК Стралджа, област Ямбол.</w:t>
      </w:r>
    </w:p>
    <w:p w:rsidR="00820BAF" w:rsidRDefault="00820BAF" w:rsidP="00820BA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0D3994" w:rsidRPr="000D3994" w:rsidRDefault="00B3371A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820BAF" w:rsidRP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МИ/01.10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.2023г.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втора точка от дневния ред – Входяща поща.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електронната поща 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>не са получени</w:t>
      </w:r>
      <w:r w:rsidR="004752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писма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475297" w:rsidRDefault="00475297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4752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A9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реминаваме към</w:t>
      </w:r>
      <w:r w:rsidRPr="004752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</w:t>
      </w:r>
      <w:r w:rsidR="00A9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</w:t>
      </w:r>
      <w:r w:rsidR="002640F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азни. Тук имам няколко предложения:</w:t>
      </w:r>
    </w:p>
    <w:p w:rsidR="002640FF" w:rsidRDefault="002640FF" w:rsidP="002640FF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Замяна на членове на СИК. Започва периода на замяна на членове на СИК по различни причини. Предлагам да взимаме решение за замяната на членовете при постъпване на няколко, а не за всеки по отделно. </w:t>
      </w:r>
    </w:p>
    <w:p w:rsidR="002640FF" w:rsidRDefault="002640FF" w:rsidP="002640FF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застъп</w:t>
      </w:r>
      <w:r w:rsidR="00953F8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ници. Всяка партия попълва </w:t>
      </w:r>
      <w:r w:rsidR="002A4F9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Заявле</w:t>
      </w:r>
      <w:r w:rsidR="00953F8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ние за </w:t>
      </w:r>
      <w:r w:rsidR="002A4F9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застъпници, кое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то </w:t>
      </w:r>
      <w:r w:rsidR="00953F8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ни предоставя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за да го входираме. Преди да бъде входиран </w:t>
      </w:r>
      <w:r w:rsidR="002A4F9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списъка със застъпниците на дадената партия се проверяват през системата, като ни предоставя списъка и на електронен носител в </w:t>
      </w:r>
      <w:proofErr w:type="spellStart"/>
      <w:r w:rsidR="002A4F9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ексел</w:t>
      </w:r>
      <w:proofErr w:type="spellEnd"/>
      <w:r w:rsidR="002A4F9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формат по дадения образец.</w:t>
      </w:r>
    </w:p>
    <w:p w:rsidR="002A4F96" w:rsidRDefault="00A06081" w:rsidP="002640FF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Упълномощени представители</w:t>
      </w:r>
      <w:r w:rsidR="00DA1CB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B59D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– партиите ще ни предоставят списъците с упълномощените представители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които също се проверяват</w:t>
      </w:r>
      <w:r w:rsidR="002B59D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При отваряне и затваряне на секция присъства по 1 представител или застъпник от партия.</w:t>
      </w:r>
    </w:p>
    <w:p w:rsidR="00564DBB" w:rsidRDefault="002B59D4" w:rsidP="002640FF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Обучение на участниците в СИК. Най-добре е обучението да се проведе максимално близко преди изборния ден. Подходяща дата би била събота 21.10.2023г. До тогава ще са излезли и методическите указания. </w:t>
      </w:r>
      <w:r w:rsidR="00564DB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Обучението може да се проведе на 2 смени: </w:t>
      </w:r>
    </w:p>
    <w:p w:rsidR="002B59D4" w:rsidRDefault="00564DBB" w:rsidP="00564DB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I-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смяна – от 10:00ч. до 12:00ч.</w:t>
      </w:r>
    </w:p>
    <w:p w:rsidR="00564DBB" w:rsidRDefault="00564DBB" w:rsidP="00564DB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II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-смяна – от 13:00ч. до 15:00ч.</w:t>
      </w:r>
    </w:p>
    <w:p w:rsidR="00564DBB" w:rsidRPr="00564DBB" w:rsidRDefault="00564DBB" w:rsidP="00564DBB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До момента обученията са провеждани в Читалището, затова и тази година ще го проведем там.</w:t>
      </w:r>
    </w:p>
    <w:p w:rsidR="008224F3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беше закрито </w:t>
      </w:r>
      <w:r w:rsidR="008A4CA9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председателя </w:t>
      </w: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820BAF">
        <w:rPr>
          <w:rFonts w:ascii="Times New Roman" w:hAnsi="Times New Roman" w:cs="Times New Roman"/>
          <w:bCs/>
          <w:sz w:val="24"/>
          <w:szCs w:val="24"/>
          <w:lang w:val="bg-BG"/>
        </w:rPr>
        <w:t>18:10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часа.</w:t>
      </w:r>
    </w:p>
    <w:p w:rsidR="00FC28CC" w:rsidRDefault="00FC28CC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0" w:name="_GoBack"/>
      <w:bookmarkEnd w:id="0"/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C4D93"/>
    <w:rsid w:val="000D3994"/>
    <w:rsid w:val="00157369"/>
    <w:rsid w:val="00202E4A"/>
    <w:rsid w:val="00206A2E"/>
    <w:rsid w:val="002461CC"/>
    <w:rsid w:val="00254CE2"/>
    <w:rsid w:val="002640FF"/>
    <w:rsid w:val="002A4F96"/>
    <w:rsid w:val="002B59D4"/>
    <w:rsid w:val="00325383"/>
    <w:rsid w:val="00377F0E"/>
    <w:rsid w:val="003D36C6"/>
    <w:rsid w:val="00475297"/>
    <w:rsid w:val="00502417"/>
    <w:rsid w:val="00564DBB"/>
    <w:rsid w:val="005D2365"/>
    <w:rsid w:val="006E45EC"/>
    <w:rsid w:val="00717F8E"/>
    <w:rsid w:val="0074480F"/>
    <w:rsid w:val="00760B67"/>
    <w:rsid w:val="007E576B"/>
    <w:rsid w:val="00820BAF"/>
    <w:rsid w:val="008224F3"/>
    <w:rsid w:val="00856237"/>
    <w:rsid w:val="008A4CA9"/>
    <w:rsid w:val="00953F88"/>
    <w:rsid w:val="009554BC"/>
    <w:rsid w:val="009578EB"/>
    <w:rsid w:val="00996F66"/>
    <w:rsid w:val="00A06081"/>
    <w:rsid w:val="00A857F8"/>
    <w:rsid w:val="00A94D30"/>
    <w:rsid w:val="00B3371A"/>
    <w:rsid w:val="00BD370E"/>
    <w:rsid w:val="00CB299B"/>
    <w:rsid w:val="00D02802"/>
    <w:rsid w:val="00D95332"/>
    <w:rsid w:val="00DA1CB2"/>
    <w:rsid w:val="00DC0C44"/>
    <w:rsid w:val="00E5277A"/>
    <w:rsid w:val="00EA4B7D"/>
    <w:rsid w:val="00EE2AE6"/>
    <w:rsid w:val="00F13A2D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B771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41</cp:revision>
  <cp:lastPrinted>2023-10-03T08:14:00Z</cp:lastPrinted>
  <dcterms:created xsi:type="dcterms:W3CDTF">2023-09-27T13:37:00Z</dcterms:created>
  <dcterms:modified xsi:type="dcterms:W3CDTF">2023-10-03T08:14:00Z</dcterms:modified>
</cp:coreProperties>
</file>